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E" w:rsidRPr="00B61343" w:rsidRDefault="00A412EE" w:rsidP="00A412EE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C00F0A" w:rsidRPr="00B61343" w:rsidRDefault="00B61343" w:rsidP="0011726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AOK/220/</w:t>
      </w:r>
      <w:r w:rsidR="000F6235">
        <w:rPr>
          <w:rFonts w:asciiTheme="minorHAnsi" w:hAnsiTheme="minorHAnsi"/>
          <w:b/>
          <w:sz w:val="28"/>
          <w:szCs w:val="28"/>
        </w:rPr>
        <w:t>0</w:t>
      </w:r>
      <w:r w:rsidR="00621237">
        <w:rPr>
          <w:rFonts w:asciiTheme="minorHAnsi" w:hAnsiTheme="minorHAnsi"/>
          <w:b/>
          <w:sz w:val="28"/>
          <w:szCs w:val="28"/>
        </w:rPr>
        <w:t>3</w:t>
      </w:r>
      <w:r w:rsidR="006F31E4" w:rsidRPr="00B61343">
        <w:rPr>
          <w:rFonts w:asciiTheme="minorHAnsi" w:hAnsiTheme="minorHAnsi"/>
          <w:b/>
          <w:sz w:val="28"/>
          <w:szCs w:val="28"/>
        </w:rPr>
        <w:t>/</w:t>
      </w:r>
      <w:r w:rsidR="004C6B4B">
        <w:rPr>
          <w:rFonts w:asciiTheme="minorHAnsi" w:hAnsiTheme="minorHAnsi"/>
          <w:b/>
          <w:sz w:val="28"/>
          <w:szCs w:val="28"/>
        </w:rPr>
        <w:t>JK</w:t>
      </w:r>
      <w:r w:rsidR="00114D24">
        <w:rPr>
          <w:rFonts w:asciiTheme="minorHAnsi" w:hAnsiTheme="minorHAnsi"/>
          <w:b/>
          <w:sz w:val="28"/>
          <w:szCs w:val="28"/>
        </w:rPr>
        <w:t>/2015</w:t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  <w:t xml:space="preserve">        </w:t>
      </w:r>
      <w:r w:rsidR="00C00F0A" w:rsidRPr="00B61343">
        <w:rPr>
          <w:rFonts w:asciiTheme="minorHAnsi" w:hAnsiTheme="minorHAnsi"/>
          <w:b/>
          <w:sz w:val="28"/>
          <w:szCs w:val="28"/>
        </w:rPr>
        <w:t xml:space="preserve">Radomsko, </w:t>
      </w:r>
      <w:r w:rsidR="00621237">
        <w:rPr>
          <w:rFonts w:asciiTheme="minorHAnsi" w:hAnsiTheme="minorHAnsi"/>
          <w:b/>
          <w:sz w:val="28"/>
          <w:szCs w:val="28"/>
        </w:rPr>
        <w:t>0</w:t>
      </w:r>
      <w:r w:rsidR="00D57684">
        <w:rPr>
          <w:rFonts w:asciiTheme="minorHAnsi" w:hAnsiTheme="minorHAnsi"/>
          <w:b/>
          <w:sz w:val="28"/>
          <w:szCs w:val="28"/>
        </w:rPr>
        <w:t>5</w:t>
      </w:r>
      <w:r w:rsidR="00C00F0A" w:rsidRPr="00B61343">
        <w:rPr>
          <w:rFonts w:asciiTheme="minorHAnsi" w:hAnsiTheme="minorHAnsi"/>
          <w:b/>
          <w:sz w:val="28"/>
          <w:szCs w:val="28"/>
        </w:rPr>
        <w:t>.</w:t>
      </w:r>
      <w:r w:rsidR="00621237">
        <w:rPr>
          <w:rFonts w:asciiTheme="minorHAnsi" w:hAnsiTheme="minorHAnsi"/>
          <w:b/>
          <w:sz w:val="28"/>
          <w:szCs w:val="28"/>
        </w:rPr>
        <w:t>02.</w:t>
      </w:r>
      <w:r w:rsidR="00C00F0A" w:rsidRPr="00B61343">
        <w:rPr>
          <w:rFonts w:asciiTheme="minorHAnsi" w:hAnsiTheme="minorHAnsi"/>
          <w:b/>
          <w:sz w:val="28"/>
          <w:szCs w:val="28"/>
        </w:rPr>
        <w:t>201</w:t>
      </w:r>
      <w:r w:rsidR="000F6235">
        <w:rPr>
          <w:rFonts w:asciiTheme="minorHAnsi" w:hAnsiTheme="minorHAnsi"/>
          <w:b/>
          <w:sz w:val="28"/>
          <w:szCs w:val="28"/>
        </w:rPr>
        <w:t>5</w:t>
      </w:r>
      <w:r w:rsidR="00C00F0A" w:rsidRPr="00B61343">
        <w:rPr>
          <w:rFonts w:asciiTheme="minorHAnsi" w:hAnsiTheme="minorHAnsi"/>
          <w:b/>
          <w:sz w:val="28"/>
          <w:szCs w:val="28"/>
        </w:rPr>
        <w:t>r.</w:t>
      </w:r>
    </w:p>
    <w:p w:rsidR="00C00F0A" w:rsidRPr="00B61343" w:rsidRDefault="00C00F0A" w:rsidP="00C00F0A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ZAPROSZENIE DO SKŁADANIA OFERT</w:t>
      </w:r>
    </w:p>
    <w:p w:rsidR="00972BE6" w:rsidRDefault="00972BE6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Nazwa i adres zamawiającego.</w:t>
      </w:r>
    </w:p>
    <w:p w:rsidR="00C5726F" w:rsidRDefault="00C5726F" w:rsidP="00C5726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Pr="007608E8" w:rsidRDefault="007608E8" w:rsidP="007608E8">
      <w:pPr>
        <w:ind w:firstLine="360"/>
        <w:jc w:val="both"/>
        <w:rPr>
          <w:rFonts w:eastAsia="Calibri"/>
        </w:rPr>
      </w:pPr>
      <w:r w:rsidRPr="007608E8">
        <w:rPr>
          <w:rFonts w:eastAsia="Calibri"/>
        </w:rPr>
        <w:t>Powiatowy Urząd Pracy w Radomsku, ul. Tysiąclecia 2, 97-500  Radomsko</w:t>
      </w:r>
    </w:p>
    <w:p w:rsidR="007608E8" w:rsidRPr="007608E8" w:rsidRDefault="007608E8" w:rsidP="007608E8">
      <w:pPr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Tryb udzielenia zamówienia.</w:t>
      </w:r>
    </w:p>
    <w:p w:rsidR="007608E8" w:rsidRPr="007608E8" w:rsidRDefault="007608E8" w:rsidP="007608E8">
      <w:pPr>
        <w:ind w:left="360"/>
        <w:jc w:val="both"/>
        <w:rPr>
          <w:rFonts w:eastAsia="Calibri"/>
        </w:rPr>
      </w:pPr>
      <w:r w:rsidRPr="007608E8">
        <w:rPr>
          <w:rFonts w:eastAsia="Calibri"/>
        </w:rPr>
        <w:t>Postępowanie nie podlega przepisom ustawy  Prawo zamówień publicznych zgodnie z art. 4 pkt. 8 ustawy z dnia 29 stycznia 2004 roku Prawo zamówień publicznych (tekst jednolity Dz. U. z 2013r., poz. 907 ze zm.) ze względu na wartość zamówienia oszacowana poniżej kwoty 30 000 Euro i jest prowadzona w oparciu o uregulowania wewnętrzne obowiązujące u Zamawiającego.</w:t>
      </w:r>
    </w:p>
    <w:p w:rsidR="007608E8" w:rsidRDefault="007608E8" w:rsidP="007608E8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przedmiotu zamówienia</w:t>
      </w:r>
    </w:p>
    <w:p w:rsidR="00C5726F" w:rsidRDefault="00C5726F" w:rsidP="00C5726F">
      <w:pPr>
        <w:pStyle w:val="Akapitzlist"/>
        <w:rPr>
          <w:rFonts w:asciiTheme="minorHAnsi" w:hAnsiTheme="minorHAnsi"/>
          <w:b/>
          <w:sz w:val="28"/>
          <w:szCs w:val="28"/>
        </w:rPr>
      </w:pPr>
    </w:p>
    <w:tbl>
      <w:tblPr>
        <w:tblW w:w="89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376"/>
        <w:gridCol w:w="990"/>
        <w:gridCol w:w="1600"/>
        <w:gridCol w:w="1243"/>
        <w:gridCol w:w="1607"/>
        <w:gridCol w:w="1607"/>
      </w:tblGrid>
      <w:tr w:rsidR="007608E8" w:rsidTr="007608E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ADC"/>
          </w:tcPr>
          <w:p w:rsidR="007608E8" w:rsidRPr="005A51AD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Lp.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 w:rsidRPr="005A51AD">
              <w:rPr>
                <w:rFonts w:ascii="Calibri" w:eastAsia="Times New Roman" w:hAnsi="Calibri"/>
                <w:b/>
                <w:bCs/>
              </w:rPr>
              <w:t>Model</w:t>
            </w:r>
            <w:r>
              <w:rPr>
                <w:rFonts w:ascii="Calibri" w:eastAsia="Times New Roman" w:hAnsi="Calibri"/>
                <w:b/>
                <w:bCs/>
              </w:rPr>
              <w:t xml:space="preserve"> drukarki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 w:rsidRPr="005A51AD">
              <w:rPr>
                <w:rFonts w:ascii="Calibri" w:eastAsia="Times New Roman" w:hAnsi="Calibri"/>
                <w:b/>
                <w:bCs/>
              </w:rPr>
              <w:t>Symbol</w:t>
            </w:r>
            <w:r>
              <w:rPr>
                <w:rFonts w:ascii="Calibri" w:eastAsia="Times New Roman" w:hAnsi="Calibri"/>
                <w:b/>
                <w:bCs/>
              </w:rPr>
              <w:t xml:space="preserve"> modelu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 w:rsidRPr="005A51AD">
              <w:rPr>
                <w:rFonts w:ascii="Calibri" w:eastAsia="Times New Roman" w:hAnsi="Calibri"/>
                <w:b/>
                <w:bCs/>
              </w:rPr>
              <w:t xml:space="preserve">Toner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Ilość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ADC"/>
          </w:tcPr>
          <w:p w:rsidR="007608E8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Cena brutto 1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szt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ADC"/>
          </w:tcPr>
          <w:p w:rsidR="007608E8" w:rsidRDefault="007608E8" w:rsidP="007608E8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Cena brutto </w:t>
            </w: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Samsung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SCX4623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Samsung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C5082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M5082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Y5082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K5082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Samsung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103L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Samsung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SCX3405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KYOCERA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3130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Samsung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C506L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M506L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Y506L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K506L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OKI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C822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CC822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YC82</w:t>
            </w: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216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KYOCERA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TASK ALFA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TK-8305C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TK-8305M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TK-8305Y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TK-8305K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KYOCERA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3040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TK-3150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C7115A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12a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505x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5A51AD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KYOCERA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5A51AD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5A51AD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5A51AD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KYOCERA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  <w:color w:val="FF0000"/>
              </w:rPr>
            </w:pPr>
            <w:r w:rsidRPr="007B3C52">
              <w:rPr>
                <w:rFonts w:ascii="Calibri" w:eastAsia="Times New Roman" w:hAnsi="Calibri"/>
                <w:color w:val="FF0000"/>
              </w:rPr>
              <w:t>TK-590M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7B3C52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  <w:color w:val="FFFF00"/>
              </w:rPr>
            </w:pPr>
            <w:r w:rsidRPr="007B3C52">
              <w:rPr>
                <w:rFonts w:ascii="Calibri" w:eastAsia="Times New Roman" w:hAnsi="Calibri"/>
                <w:color w:val="FFFF00"/>
              </w:rPr>
              <w:t>TK-590Y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7608E8" w:rsidRPr="007B3C52" w:rsidTr="007608E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7608E8" w:rsidRPr="007B3C52" w:rsidRDefault="007608E8" w:rsidP="007608E8">
            <w:pPr>
              <w:jc w:val="center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TK-590K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  <w:r w:rsidRPr="007B3C52">
              <w:rPr>
                <w:rFonts w:ascii="Calibri" w:eastAsia="Times New Roman" w:hAnsi="Calibri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8" w:rsidRPr="007B3C52" w:rsidRDefault="007608E8" w:rsidP="007608E8">
            <w:pPr>
              <w:jc w:val="right"/>
              <w:rPr>
                <w:rFonts w:ascii="Calibri" w:eastAsia="Times New Roman" w:hAnsi="Calibri"/>
              </w:rPr>
            </w:pPr>
          </w:p>
        </w:tc>
      </w:tr>
    </w:tbl>
    <w:p w:rsidR="007608E8" w:rsidRPr="00D63B6C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Zamawiający dopuszcza złożenie oferty na tonery stanowiące zamienniki (równoważne) do urządzeń drukujących Zamawiającego wymienionych w tabeli w punktach </w:t>
      </w:r>
      <w:r w:rsidRPr="00DD50DB">
        <w:rPr>
          <w:b/>
        </w:rPr>
        <w:t xml:space="preserve">1, 3, </w:t>
      </w:r>
      <w:r>
        <w:rPr>
          <w:b/>
        </w:rPr>
        <w:t>4</w:t>
      </w:r>
      <w:r w:rsidRPr="00DD50DB">
        <w:rPr>
          <w:b/>
        </w:rPr>
        <w:t xml:space="preserve">, </w:t>
      </w:r>
      <w:r>
        <w:rPr>
          <w:b/>
        </w:rPr>
        <w:t>10, 11 i 12</w:t>
      </w:r>
      <w:r w:rsidRPr="00DD50DB">
        <w:t xml:space="preserve">. </w:t>
      </w:r>
    </w:p>
    <w:p w:rsidR="007608E8" w:rsidRPr="00D63B6C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Przedmiotem dostawy muszą być fabrycznie nowe, wyprodukowane w roku dostawy, tonery i bębny, pakowane pojedynczo, dostarczone do Zamawiającego w oryginalnych opakowaniach producenta. </w:t>
      </w:r>
    </w:p>
    <w:p w:rsidR="007608E8" w:rsidRPr="00DD50DB" w:rsidRDefault="007608E8" w:rsidP="007608E8">
      <w:pPr>
        <w:tabs>
          <w:tab w:val="left" w:pos="284"/>
        </w:tabs>
        <w:ind w:left="283"/>
        <w:jc w:val="both"/>
      </w:pPr>
      <w:r w:rsidRPr="00DD50DB">
        <w:t>Wszystkie tonery i bębny muszą posiadać na opakowaniach zewnętrznych:</w:t>
      </w:r>
    </w:p>
    <w:p w:rsidR="007608E8" w:rsidRPr="00DD50DB" w:rsidRDefault="007608E8" w:rsidP="007608E8">
      <w:pPr>
        <w:widowControl/>
        <w:numPr>
          <w:ilvl w:val="0"/>
          <w:numId w:val="2"/>
        </w:numPr>
        <w:tabs>
          <w:tab w:val="left" w:pos="284"/>
        </w:tabs>
        <w:suppressAutoHyphens w:val="0"/>
        <w:jc w:val="both"/>
      </w:pPr>
      <w:r w:rsidRPr="00DD50DB">
        <w:t xml:space="preserve">logo i nazwę producenta, </w:t>
      </w:r>
    </w:p>
    <w:p w:rsidR="007608E8" w:rsidRPr="00DD50DB" w:rsidRDefault="007608E8" w:rsidP="007608E8">
      <w:pPr>
        <w:widowControl/>
        <w:numPr>
          <w:ilvl w:val="0"/>
          <w:numId w:val="2"/>
        </w:numPr>
        <w:tabs>
          <w:tab w:val="left" w:pos="284"/>
        </w:tabs>
        <w:suppressAutoHyphens w:val="0"/>
        <w:jc w:val="both"/>
      </w:pPr>
      <w:r w:rsidRPr="00DD50DB">
        <w:t>opis zawartości i numer katalogowy,</w:t>
      </w:r>
    </w:p>
    <w:p w:rsidR="007608E8" w:rsidRPr="00DD50DB" w:rsidRDefault="007608E8" w:rsidP="007608E8">
      <w:pPr>
        <w:widowControl/>
        <w:numPr>
          <w:ilvl w:val="0"/>
          <w:numId w:val="2"/>
        </w:numPr>
        <w:tabs>
          <w:tab w:val="left" w:pos="284"/>
        </w:tabs>
        <w:suppressAutoHyphens w:val="0"/>
        <w:jc w:val="both"/>
      </w:pPr>
      <w:r w:rsidRPr="00DD50DB">
        <w:t xml:space="preserve">typ i model urządzenia, </w:t>
      </w:r>
    </w:p>
    <w:p w:rsidR="007608E8" w:rsidRPr="00DD50DB" w:rsidRDefault="007608E8" w:rsidP="007608E8">
      <w:pPr>
        <w:widowControl/>
        <w:numPr>
          <w:ilvl w:val="0"/>
          <w:numId w:val="2"/>
        </w:numPr>
        <w:tabs>
          <w:tab w:val="left" w:pos="284"/>
        </w:tabs>
        <w:suppressAutoHyphens w:val="0"/>
        <w:jc w:val="both"/>
      </w:pPr>
      <w:r w:rsidRPr="00DD50DB">
        <w:t>termin przydatności do użytku.</w:t>
      </w:r>
    </w:p>
    <w:p w:rsidR="007608E8" w:rsidRDefault="007608E8" w:rsidP="007608E8">
      <w:pPr>
        <w:tabs>
          <w:tab w:val="left" w:pos="284"/>
        </w:tabs>
        <w:ind w:left="283"/>
        <w:jc w:val="both"/>
      </w:pPr>
      <w:r>
        <w:tab/>
        <w:t xml:space="preserve">  </w:t>
      </w:r>
      <w:r w:rsidRPr="00DD50DB">
        <w:t xml:space="preserve">W przypadku dostawy zamienników wymagane jest podanie na opakowaniu </w:t>
      </w:r>
      <w:r>
        <w:t xml:space="preserve">  </w:t>
      </w:r>
      <w:r w:rsidRPr="00DD50DB">
        <w:t xml:space="preserve">oznaczenia </w:t>
      </w:r>
      <w:r>
        <w:t xml:space="preserve"> </w:t>
      </w:r>
    </w:p>
    <w:p w:rsidR="007608E8" w:rsidRPr="00DD50DB" w:rsidRDefault="007608E8" w:rsidP="007608E8">
      <w:pPr>
        <w:tabs>
          <w:tab w:val="left" w:pos="284"/>
        </w:tabs>
        <w:ind w:left="283"/>
        <w:jc w:val="both"/>
      </w:pPr>
      <w:r>
        <w:t xml:space="preserve">  </w:t>
      </w:r>
      <w:r w:rsidRPr="00DD50DB">
        <w:t xml:space="preserve">oryginalnego materiału eksploatacyjnego, którego dotyczy dany zamiennik. 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Wykonawca gwarantuje, że dostarczone tonery i bębny będą wysokiej jakości oraz zapewniają kompatybilność pracy z urządzeniami Zamawiającego,</w:t>
      </w:r>
      <w:r>
        <w:t xml:space="preserve"> posiadają właściwe opakowania </w:t>
      </w:r>
      <w:r w:rsidRPr="00DD50DB">
        <w:t>i oznakowania.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Zamawiający po stwierdzeniu niezgodności ilościowych albo ukrytych wad jakościowych </w:t>
      </w:r>
      <w:r w:rsidRPr="00DD50DB">
        <w:br/>
        <w:t xml:space="preserve">w okresie terminu gwarancyjnego otrzymanego towaru, pozostawi towar do dyspozycji Wykonawcy, powiadamiając go niezwłocznie (mailem, telefonicznie lub </w:t>
      </w:r>
      <w:proofErr w:type="spellStart"/>
      <w:r w:rsidRPr="00DD50DB">
        <w:t>faxem</w:t>
      </w:r>
      <w:proofErr w:type="spellEnd"/>
      <w:r w:rsidRPr="00DD50DB">
        <w:t>) o stwierdzonych brakach lub wadach.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Jeśli Zamawiający stwierdzi, iż wydajność, jakość lub niezawodność dostarczonego bębna lub tonerów niekorzystnie odbiega od wymagań producenta sprzętu, Wykonawca zobowiązuje się do gwarancyjnej wymiany na nowy, wolny od wad w terminie 2 dni roboczych od momentu zgłoszenia przez Zamawiającego o wadliwym tonerze lub bębnie mailem, telefonicznie lub </w:t>
      </w:r>
      <w:proofErr w:type="spellStart"/>
      <w:r w:rsidRPr="00DD50DB">
        <w:t>faxem</w:t>
      </w:r>
      <w:proofErr w:type="spellEnd"/>
      <w:r w:rsidRPr="00DD50DB">
        <w:t xml:space="preserve">. Wymiana nastąpi w miejscu wskazanym przez Zamawiającego na koszt i ryzyko Wykonawcy. 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Wykonawca gwarantuje, że zamontowanie i używanie dostarczonych przez niego wkładów (tonerów i bębnów) nie spowoduje utraty praw gwarancji producenta urządzenia, do którego są przeznaczone.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Przez produkt równoważny Zamawiający rozumie produkt kompatybilny ze sprzętem, do którego materiał jest zamówiony, o parametrach takich samych lub lepszych (większa pojemność tonera, lepsza wydajność i jakość wydruku) w stosunku do wskazanego oryginału produkowanego przez producenta sprzętu. 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Tonery/zamienniki  muszą być tonerami „fabrycznie nowymi” posiadającymi wszystkie parametry techniczne, funkcjonalne i użytkowe i jakościowe co najmniej takie jak tonery oryginalne. 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W przypadku wystąpienia uszkodzenia sprzętu na skutek użycia tonera lub bębna dostarczonego przez Wykonawcę, Wykonawca zobowiązuje się do dostarczenia w terminie do 2 dni i na swój koszt do wskazanego miejsca przez Zamawiającego </w:t>
      </w:r>
      <w:r w:rsidRPr="00DD50DB">
        <w:lastRenderedPageBreak/>
        <w:t>zastępczego sprzętu wraz z odpowiednim tonerem/bębnem oraz przejmuje na siebie koszty naprawy uszkodzonego sprzętu.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Zamawiający wymaga, aby oferowane tonery do sprzętu posiadały termin przydatności do użycia, na co najmniej 12 miesięcy licząc od terminu protokolarnego odbioru towaru od Wykonawcy.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Materiały nie mogą powodować ograniczeń funkcji i możliwości sprzętu oraz jakości wydruku wyspecyfikowanych w warunkach technicznych producenta sprzętu.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Materiały nie mogą ograniczać pełnej współpracy z programem drukarki monitorującym stan zasobników z tonerem.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>Zamawiający wymaga aby tonery i bębny posiadały certyfikat bezpieczeństwa CE oraz powinny być oznakowane znakiem CE.</w:t>
      </w:r>
    </w:p>
    <w:p w:rsidR="007608E8" w:rsidRPr="00DD50DB" w:rsidRDefault="007608E8" w:rsidP="007608E8">
      <w:pPr>
        <w:widowControl/>
        <w:numPr>
          <w:ilvl w:val="0"/>
          <w:numId w:val="1"/>
        </w:numPr>
        <w:suppressAutoHyphens w:val="0"/>
        <w:jc w:val="both"/>
      </w:pPr>
      <w:r w:rsidRPr="00DD50DB">
        <w:t xml:space="preserve">Wykonawca gwarantuje, że zamontowanie i używanie dostarczonych przez niego wkładów drukujących nie spowoduje utraty praw gwarancji producenta urządzenia, do którego są przeznaczone. </w:t>
      </w:r>
    </w:p>
    <w:p w:rsidR="007608E8" w:rsidRPr="00B61343" w:rsidRDefault="007608E8" w:rsidP="007608E8">
      <w:pPr>
        <w:tabs>
          <w:tab w:val="left" w:pos="10490"/>
        </w:tabs>
        <w:ind w:right="1416"/>
        <w:rPr>
          <w:rFonts w:asciiTheme="minorHAnsi" w:hAnsiTheme="minorHAnsi"/>
        </w:rPr>
      </w:pPr>
    </w:p>
    <w:p w:rsidR="007608E8" w:rsidRDefault="007608E8" w:rsidP="007608E8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Termin realizacji zamówienia.</w:t>
      </w:r>
    </w:p>
    <w:p w:rsidR="00972BE6" w:rsidRDefault="006F0AD9" w:rsidP="00972BE6">
      <w:pPr>
        <w:pStyle w:val="Akapitzlist"/>
      </w:pPr>
      <w:r>
        <w:t>Od dnia podpisania umowy do końca lutego</w:t>
      </w:r>
      <w:r w:rsidR="00972BE6" w:rsidRPr="00972BE6">
        <w:t xml:space="preserve"> 2015r.</w:t>
      </w:r>
    </w:p>
    <w:p w:rsidR="00972BE6" w:rsidRPr="00972BE6" w:rsidRDefault="00972BE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Kryteria oceny ofert.</w:t>
      </w:r>
    </w:p>
    <w:p w:rsidR="00972BE6" w:rsidRDefault="003477F6" w:rsidP="00972BE6">
      <w:pPr>
        <w:pStyle w:val="Akapitzlist"/>
      </w:pPr>
      <w:r>
        <w:t>Kryterium wyboru najkorzystniejszej oferty będzie najniższa cena.</w:t>
      </w:r>
    </w:p>
    <w:p w:rsidR="003477F6" w:rsidRPr="00972BE6" w:rsidRDefault="003477F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Miejsce , termin i sposób składania ofert.</w:t>
      </w:r>
    </w:p>
    <w:p w:rsidR="00AE5075" w:rsidRDefault="00AE5075" w:rsidP="00AE5075">
      <w:r>
        <w:t xml:space="preserve">         </w:t>
      </w:r>
      <w:r w:rsidR="003477F6">
        <w:t xml:space="preserve">a) </w:t>
      </w:r>
      <w:r w:rsidR="003477F6" w:rsidRPr="003477F6">
        <w:t>Ofertę należy</w:t>
      </w:r>
      <w:r w:rsidR="003477F6">
        <w:t xml:space="preserve"> złożyć w siedzibie Zamawiającego, tj. w Biurze Podawczym </w:t>
      </w:r>
      <w:r>
        <w:t xml:space="preserve">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</w:t>
      </w:r>
      <w:r w:rsidR="003477F6" w:rsidRPr="003477F6">
        <w:rPr>
          <w:b/>
        </w:rPr>
        <w:t>Powiatow</w:t>
      </w:r>
      <w:r w:rsidR="003477F6">
        <w:rPr>
          <w:b/>
        </w:rPr>
        <w:t xml:space="preserve">ego </w:t>
      </w:r>
      <w:r w:rsidR="003477F6" w:rsidRPr="003477F6">
        <w:rPr>
          <w:b/>
        </w:rPr>
        <w:t xml:space="preserve"> Urz</w:t>
      </w:r>
      <w:r w:rsidR="003477F6">
        <w:rPr>
          <w:b/>
        </w:rPr>
        <w:t>ę</w:t>
      </w:r>
      <w:r w:rsidR="003477F6" w:rsidRPr="003477F6">
        <w:rPr>
          <w:b/>
        </w:rPr>
        <w:t>d</w:t>
      </w:r>
      <w:r w:rsidR="003477F6">
        <w:rPr>
          <w:b/>
        </w:rPr>
        <w:t>u</w:t>
      </w:r>
      <w:r w:rsidR="003477F6" w:rsidRPr="003477F6">
        <w:rPr>
          <w:b/>
        </w:rPr>
        <w:t xml:space="preserve"> Pracy w Radomsku, ul. Tysiąclecia 2 , 97-500 Radomsko,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bądź przesłać na adres: Powiatowy Urząd Pracy w Radomsku, ul. Tysiąclecia 2,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97-500 Radomsko </w:t>
      </w:r>
      <w:r w:rsidR="003477F6">
        <w:rPr>
          <w:b/>
        </w:rPr>
        <w:t xml:space="preserve"> </w:t>
      </w:r>
      <w:r w:rsidR="00D956A3">
        <w:rPr>
          <w:b/>
        </w:rPr>
        <w:t xml:space="preserve">, </w:t>
      </w:r>
      <w:r>
        <w:rPr>
          <w:b/>
        </w:rPr>
        <w:t xml:space="preserve">  </w:t>
      </w:r>
      <w:r w:rsidRPr="003477F6">
        <w:rPr>
          <w:b/>
        </w:rPr>
        <w:t xml:space="preserve">w </w:t>
      </w:r>
      <w:r>
        <w:rPr>
          <w:b/>
        </w:rPr>
        <w:t xml:space="preserve">  </w:t>
      </w:r>
      <w:r w:rsidRPr="003477F6">
        <w:rPr>
          <w:b/>
        </w:rPr>
        <w:t>terminie do dnia 12 lutego 2015r., do godziny 10: 00</w:t>
      </w:r>
      <w:r>
        <w:rPr>
          <w:b/>
        </w:rPr>
        <w:t xml:space="preserve">           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b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Decydujące znaczenie dla oceny zachowania powyższego terminu ma data i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godzina wpływu oferty do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Zamawiającego, a nie data jej wysłania przesyłką </w:t>
      </w:r>
    </w:p>
    <w:p w:rsidR="003477F6" w:rsidRP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pocztową czy kurierską. </w:t>
      </w:r>
    </w:p>
    <w:p w:rsidR="003477F6" w:rsidRDefault="003477F6" w:rsidP="003477F6">
      <w:pPr>
        <w:pStyle w:val="Akapitzlist"/>
      </w:pPr>
      <w:r w:rsidRPr="003477F6">
        <w:t xml:space="preserve">b) </w:t>
      </w:r>
      <w:r>
        <w:t xml:space="preserve">Wykonawca powinien umieścić ofertę w zamkniętej kopercie. Na kopercie powinna widnieć nazwa i adres Zamawiającego oraz oznaczenie: „Postępowanie o udzielenie zamówienia publicznego </w:t>
      </w:r>
      <w:r w:rsidR="00C5726F">
        <w:t xml:space="preserve">–odpowiedź na zapytanie ofertowe </w:t>
      </w:r>
      <w:r w:rsidR="00D956A3">
        <w:t xml:space="preserve">: </w:t>
      </w:r>
      <w:bookmarkStart w:id="0" w:name="_GoBack"/>
      <w:r w:rsidR="00C5726F">
        <w:t xml:space="preserve">Zakup tonerów do drukarek eksploatowanych w PUP w Radomsku w ilości 104 szt.”    </w:t>
      </w:r>
      <w:bookmarkEnd w:id="0"/>
      <w:r w:rsidR="00C5726F">
        <w:t xml:space="preserve">                                                               </w:t>
      </w:r>
    </w:p>
    <w:p w:rsidR="00C5726F" w:rsidRDefault="00C5726F" w:rsidP="003477F6">
      <w:pPr>
        <w:pStyle w:val="Akapitzlist"/>
      </w:pPr>
      <w:r>
        <w:t>c) Na kopercie należy podać nazwę i adres Wykonawcy oraz opatrzyć ją pieczęcią Wykonawcy.</w:t>
      </w:r>
    </w:p>
    <w:p w:rsidR="00C5726F" w:rsidRDefault="00C5726F" w:rsidP="003477F6">
      <w:pPr>
        <w:pStyle w:val="Akapitzlist"/>
      </w:pPr>
      <w:r>
        <w:t>d) Wykonawca ponosi wszelkie koszty związana z przygotowaniem i złożeniem oferty.</w:t>
      </w:r>
    </w:p>
    <w:p w:rsidR="00C5726F" w:rsidRDefault="00C5726F" w:rsidP="003477F6">
      <w:pPr>
        <w:pStyle w:val="Akapitzlist"/>
      </w:pPr>
      <w:r>
        <w:t>e) Otwarcie ofert jest jawne i nastąpi w dniu 12 lutego 2015r. o godz. 10.30.</w:t>
      </w:r>
    </w:p>
    <w:p w:rsidR="00C5726F" w:rsidRDefault="00C5726F" w:rsidP="003477F6">
      <w:pPr>
        <w:pStyle w:val="Akapitzlist"/>
      </w:pPr>
      <w:r>
        <w:t>f) Formularz oferty oraz dokumenty złożone przez Wykonawcę powinny być podpisane przez osoby upoważnione do składania oświadczeń woli w imieniu Wykonawcy.</w:t>
      </w:r>
    </w:p>
    <w:p w:rsidR="00C5726F" w:rsidRDefault="00C5726F" w:rsidP="003477F6">
      <w:pPr>
        <w:pStyle w:val="Akapitzlist"/>
      </w:pPr>
    </w:p>
    <w:p w:rsidR="00AE5075" w:rsidRPr="003477F6" w:rsidRDefault="00AE5075" w:rsidP="003477F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 xml:space="preserve">Sposób porozumiewania się z </w:t>
      </w:r>
      <w:r w:rsidR="003477F6">
        <w:rPr>
          <w:b/>
        </w:rPr>
        <w:t>W</w:t>
      </w:r>
      <w:r w:rsidRPr="00972BE6">
        <w:rPr>
          <w:b/>
        </w:rPr>
        <w:t xml:space="preserve">ykonawcami. </w:t>
      </w:r>
    </w:p>
    <w:p w:rsidR="00C5726F" w:rsidRPr="00972BE6" w:rsidRDefault="00C5726F" w:rsidP="00C5726F">
      <w:pPr>
        <w:pStyle w:val="Akapitzlist"/>
        <w:rPr>
          <w:b/>
        </w:rPr>
      </w:pPr>
    </w:p>
    <w:p w:rsidR="0085539F" w:rsidRPr="00972BE6" w:rsidRDefault="0085539F" w:rsidP="0085539F">
      <w:pPr>
        <w:pStyle w:val="Akapitzlist"/>
      </w:pPr>
      <w:r w:rsidRPr="00972BE6">
        <w:t xml:space="preserve">a) Wszelkich dodatkowych informacji dotyczących przedmiotowego zaproszenia udziela: </w:t>
      </w:r>
      <w:r w:rsidRPr="003477F6">
        <w:rPr>
          <w:b/>
          <w:i/>
        </w:rPr>
        <w:t>Joanna Kukiełka – Starszy inspektor ds. admi</w:t>
      </w:r>
      <w:r w:rsidR="00972BE6" w:rsidRPr="003477F6">
        <w:rPr>
          <w:b/>
          <w:i/>
        </w:rPr>
        <w:t>nistrowania siecią</w:t>
      </w:r>
      <w:r w:rsidR="00972BE6">
        <w:t xml:space="preserve"> </w:t>
      </w:r>
      <w:r w:rsidR="00972BE6" w:rsidRPr="003477F6">
        <w:rPr>
          <w:b/>
          <w:i/>
        </w:rPr>
        <w:t>komputerową</w:t>
      </w:r>
      <w:r w:rsidR="00972BE6">
        <w:t xml:space="preserve">, </w:t>
      </w:r>
      <w:r w:rsidRPr="00972BE6">
        <w:t xml:space="preserve"> tel.  44 683 73 56 wew. 74,         fax. 44 683 73 59, </w:t>
      </w:r>
      <w:r w:rsidR="00C5726F">
        <w:t xml:space="preserve">                               </w:t>
      </w:r>
      <w:r w:rsidRPr="00972BE6">
        <w:t xml:space="preserve">e-mail : </w:t>
      </w:r>
      <w:hyperlink r:id="rId9" w:history="1">
        <w:r w:rsidRPr="00972BE6">
          <w:rPr>
            <w:rStyle w:val="Hipercze"/>
          </w:rPr>
          <w:t>lora@praca.gov.pl</w:t>
        </w:r>
      </w:hyperlink>
    </w:p>
    <w:p w:rsidR="0085539F" w:rsidRPr="00972BE6" w:rsidRDefault="0085539F" w:rsidP="0085539F">
      <w:pPr>
        <w:pStyle w:val="Akapitzlist"/>
      </w:pPr>
      <w:r w:rsidRPr="00972BE6">
        <w:lastRenderedPageBreak/>
        <w:t>b) W niniejszym postępowaniu wszelkie oświadczenia, wnioski, zawiadomienia oraz informacje i wyjaśnienia przekazywane będą drogą elektroniczną.</w:t>
      </w:r>
    </w:p>
    <w:p w:rsidR="0085539F" w:rsidRPr="00972BE6" w:rsidRDefault="0085539F" w:rsidP="0085539F">
      <w:pPr>
        <w:pStyle w:val="Akapitzlist"/>
      </w:pPr>
      <w:r w:rsidRPr="00972BE6">
        <w:t xml:space="preserve">c) Wykonawca, który uzna za niezbędne uzyskanie wyjaśnień dotyczących treści niniejszego zapytania ofertowego, powinien wystąpić z zapytaniem do Zamawiającego w sposób wskazany w pkt. </w:t>
      </w:r>
      <w:r w:rsidR="00ED40B4">
        <w:t>b</w:t>
      </w:r>
      <w:r w:rsidRPr="00972BE6">
        <w:t>).</w:t>
      </w:r>
    </w:p>
    <w:p w:rsidR="00972BE6" w:rsidRDefault="00972BE6" w:rsidP="0085539F">
      <w:pPr>
        <w:pStyle w:val="Akapitzlist"/>
      </w:pPr>
      <w:r w:rsidRPr="00972BE6">
        <w:t>d) Wszelkie wyjaśnienia dotyczące zaproszenia zostaną udzielone niezwłocznie wszystkim Wykonawcom bez ujawnienia źródła zapytania. Wyjaśnienia z</w:t>
      </w:r>
      <w:r>
        <w:t xml:space="preserve">ostaną udzielone niezwłocznie wszystkim Wykonawcom bez ujawniania źródła zapytania. Wyjaśnienia zostaną przesłane do Wykonawców drogą elektroniczną oraz zostaną zamieszczone na stronie internetowej </w:t>
      </w:r>
      <w:hyperlink r:id="rId10" w:history="1">
        <w:r w:rsidR="00C5726F" w:rsidRPr="009303B8">
          <w:rPr>
            <w:rStyle w:val="Hipercze"/>
          </w:rPr>
          <w:t>http://bip.pup-radomsko.pl/</w:t>
        </w:r>
      </w:hyperlink>
    </w:p>
    <w:p w:rsidR="00C5726F" w:rsidRPr="00972BE6" w:rsidRDefault="00C5726F" w:rsidP="0085539F">
      <w:pPr>
        <w:pStyle w:val="Akapitzlist"/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Informacja o formalnościach, jakie powinny zostać dopełnione po wyborze ofert w celu zawarcia umowy w sprawie przedmiotowego zamówienia.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b/>
          <w:szCs w:val="24"/>
        </w:rPr>
        <w:t xml:space="preserve">      </w:t>
      </w:r>
      <w:r w:rsidRPr="00972BE6">
        <w:rPr>
          <w:rFonts w:ascii="Times New Roman" w:hAnsi="Times New Roman"/>
          <w:szCs w:val="24"/>
        </w:rPr>
        <w:t xml:space="preserve">a) O wyborze oferty Zamawiający zawiadomi niezwłocznie Wykonawców, 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   którzy ubiegali się o udzielenie zamówienia.</w:t>
      </w:r>
    </w:p>
    <w:p w:rsidR="00980844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b) </w:t>
      </w:r>
      <w:r w:rsidR="0085539F" w:rsidRPr="00972BE6">
        <w:rPr>
          <w:rFonts w:ascii="Times New Roman" w:hAnsi="Times New Roman"/>
          <w:szCs w:val="24"/>
        </w:rPr>
        <w:t xml:space="preserve">Zamawiający z wybranym Wykonawcą zawrze umowę niezwłocznie po         </w:t>
      </w:r>
      <w:r w:rsidR="00972BE6"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85539F" w:rsidRPr="00972BE6">
        <w:rPr>
          <w:rFonts w:ascii="Times New Roman" w:hAnsi="Times New Roman"/>
          <w:szCs w:val="24"/>
        </w:rPr>
        <w:t xml:space="preserve">                                                      </w:t>
      </w:r>
      <w:r w:rsidR="00972BE6">
        <w:rPr>
          <w:rFonts w:ascii="Times New Roman" w:hAnsi="Times New Roman"/>
          <w:szCs w:val="24"/>
        </w:rPr>
        <w:t xml:space="preserve"> </w:t>
      </w:r>
      <w:r w:rsidR="0085539F" w:rsidRPr="00972BE6">
        <w:rPr>
          <w:rFonts w:ascii="Times New Roman" w:hAnsi="Times New Roman"/>
          <w:szCs w:val="24"/>
        </w:rPr>
        <w:t>przekazaniu zawiadomienia o wyborze oferty.</w:t>
      </w:r>
    </w:p>
    <w:p w:rsidR="00C5726F" w:rsidRPr="00972BE6" w:rsidRDefault="00C5726F" w:rsidP="00980844">
      <w:pPr>
        <w:rPr>
          <w:rFonts w:ascii="Times New Roman" w:hAnsi="Times New Roman"/>
          <w:szCs w:val="24"/>
        </w:rPr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Informacje dodatkowe</w:t>
      </w:r>
    </w:p>
    <w:p w:rsidR="00980844" w:rsidRPr="00972BE6" w:rsidRDefault="00980844" w:rsidP="00980844">
      <w:pPr>
        <w:suppressAutoHyphens w:val="0"/>
        <w:jc w:val="both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a) </w:t>
      </w:r>
      <w:r w:rsidR="007608E8" w:rsidRPr="00972BE6">
        <w:rPr>
          <w:rFonts w:ascii="Times New Roman" w:hAnsi="Times New Roman"/>
          <w:szCs w:val="24"/>
        </w:rPr>
        <w:t xml:space="preserve">Zamawiający w związku z prowadzoną procedurą nie dopuszcza możliwości składania </w:t>
      </w:r>
      <w:r w:rsidRPr="00972BE6">
        <w:rPr>
          <w:rFonts w:ascii="Times New Roman" w:hAnsi="Times New Roman"/>
          <w:szCs w:val="24"/>
        </w:rPr>
        <w:t xml:space="preserve"> </w:t>
      </w:r>
    </w:p>
    <w:p w:rsidR="007608E8" w:rsidRPr="00972BE6" w:rsidRDefault="00980844" w:rsidP="00980844">
      <w:pPr>
        <w:suppressAutoHyphens w:val="0"/>
        <w:jc w:val="both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    </w:t>
      </w:r>
      <w:r w:rsidR="007608E8" w:rsidRPr="00972BE6">
        <w:rPr>
          <w:rFonts w:ascii="Times New Roman" w:hAnsi="Times New Roman"/>
          <w:szCs w:val="24"/>
        </w:rPr>
        <w:t>ofert częściowych, zamówienie należy potraktować całościowo.</w:t>
      </w:r>
    </w:p>
    <w:p w:rsidR="007608E8" w:rsidRPr="00972BE6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72BE6">
        <w:t>W celu zapewnienia porównywalności wszystkich ofert, Zamawiający zastrzega sobie prawo do skontaktowania się z właściwymi Wykonawcami w celu uzupełnienia przesłanych dokumentów lub doprecyzowania przesłanych dokumentów.</w:t>
      </w:r>
    </w:p>
    <w:p w:rsidR="00980844" w:rsidRPr="00972BE6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72BE6">
        <w:t>Zamawiający zastrzega sobie prawo unieważnienia prowadzonego postępowania bez podania przyczyn.</w:t>
      </w:r>
    </w:p>
    <w:p w:rsidR="007608E8" w:rsidRDefault="007608E8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5726F">
      <w:pPr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72BE6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RPr="00972BE6" w:rsidSect="00580DF3">
      <w:footerReference w:type="default" r:id="rId11"/>
      <w:headerReference w:type="first" r:id="rId12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9" w:rsidRDefault="006F0AD9" w:rsidP="00053522">
      <w:r>
        <w:separator/>
      </w:r>
    </w:p>
  </w:endnote>
  <w:endnote w:type="continuationSeparator" w:id="0">
    <w:p w:rsidR="006F0AD9" w:rsidRDefault="006F0AD9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EndPr/>
    <w:sdtContent>
      <w:p w:rsidR="006F0AD9" w:rsidRDefault="006E1768">
        <w:pPr>
          <w:pStyle w:val="Stopka"/>
          <w:jc w:val="center"/>
        </w:pPr>
        <w:r>
          <w:fldChar w:fldCharType="begin"/>
        </w:r>
        <w:r w:rsidR="006F0AD9">
          <w:instrText xml:space="preserve"> PAGE   \* MERGEFORMAT </w:instrText>
        </w:r>
        <w:r>
          <w:fldChar w:fldCharType="separate"/>
        </w:r>
        <w:r w:rsidR="00D57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AD9" w:rsidRDefault="006F0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9" w:rsidRDefault="006F0AD9" w:rsidP="00053522">
      <w:r>
        <w:separator/>
      </w:r>
    </w:p>
  </w:footnote>
  <w:footnote w:type="continuationSeparator" w:id="0">
    <w:p w:rsidR="006F0AD9" w:rsidRDefault="006F0AD9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9" w:rsidRDefault="006F0AD9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 wp14:anchorId="7D4DABA3" wp14:editId="27BE8839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22"/>
    <w:rsid w:val="00023B6E"/>
    <w:rsid w:val="00053522"/>
    <w:rsid w:val="000A4773"/>
    <w:rsid w:val="000D329E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D6038"/>
    <w:rsid w:val="001F3CAC"/>
    <w:rsid w:val="00247A26"/>
    <w:rsid w:val="00264871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17924"/>
    <w:rsid w:val="00441087"/>
    <w:rsid w:val="00471D02"/>
    <w:rsid w:val="004C6B4B"/>
    <w:rsid w:val="004D0539"/>
    <w:rsid w:val="00531828"/>
    <w:rsid w:val="00580DF3"/>
    <w:rsid w:val="005C2268"/>
    <w:rsid w:val="006046AA"/>
    <w:rsid w:val="006111FB"/>
    <w:rsid w:val="00621237"/>
    <w:rsid w:val="0062140E"/>
    <w:rsid w:val="00657223"/>
    <w:rsid w:val="0065726B"/>
    <w:rsid w:val="006A2A32"/>
    <w:rsid w:val="006B0213"/>
    <w:rsid w:val="006D0AE7"/>
    <w:rsid w:val="006E1768"/>
    <w:rsid w:val="006E7D62"/>
    <w:rsid w:val="006F0AD9"/>
    <w:rsid w:val="006F31E4"/>
    <w:rsid w:val="007608E8"/>
    <w:rsid w:val="00770891"/>
    <w:rsid w:val="00787E88"/>
    <w:rsid w:val="007D1AC4"/>
    <w:rsid w:val="00840231"/>
    <w:rsid w:val="0085539F"/>
    <w:rsid w:val="00893185"/>
    <w:rsid w:val="008D38E8"/>
    <w:rsid w:val="008D4263"/>
    <w:rsid w:val="00902106"/>
    <w:rsid w:val="009511A5"/>
    <w:rsid w:val="00967433"/>
    <w:rsid w:val="00972BE6"/>
    <w:rsid w:val="00980844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61343"/>
    <w:rsid w:val="00B9295A"/>
    <w:rsid w:val="00B942E2"/>
    <w:rsid w:val="00BC753C"/>
    <w:rsid w:val="00BE4570"/>
    <w:rsid w:val="00C00F0A"/>
    <w:rsid w:val="00C0169A"/>
    <w:rsid w:val="00C221D7"/>
    <w:rsid w:val="00C5726F"/>
    <w:rsid w:val="00C66E69"/>
    <w:rsid w:val="00CE2C4D"/>
    <w:rsid w:val="00D34839"/>
    <w:rsid w:val="00D4133E"/>
    <w:rsid w:val="00D57684"/>
    <w:rsid w:val="00D63B6C"/>
    <w:rsid w:val="00D641DE"/>
    <w:rsid w:val="00D754E8"/>
    <w:rsid w:val="00D956A3"/>
    <w:rsid w:val="00DD3846"/>
    <w:rsid w:val="00DF4433"/>
    <w:rsid w:val="00E153BC"/>
    <w:rsid w:val="00E57651"/>
    <w:rsid w:val="00EC7D60"/>
    <w:rsid w:val="00ED3F5E"/>
    <w:rsid w:val="00ED40B4"/>
    <w:rsid w:val="00F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pup-radomsk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a@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5D7-7B9E-4770-9578-A0B935D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8</cp:revision>
  <cp:lastPrinted>2015-02-05T11:51:00Z</cp:lastPrinted>
  <dcterms:created xsi:type="dcterms:W3CDTF">2015-02-04T12:26:00Z</dcterms:created>
  <dcterms:modified xsi:type="dcterms:W3CDTF">2015-02-05T12:37:00Z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